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Pergunta com pedido de resposta escrita E-002711/2023</w:t>
      </w:r>
    </w:p>
    <w:p>
      <w:pPr>
        <w:pStyle w:val="Arial10"/>
      </w:pPr>
      <w:r>
        <w:rPr>
          <w:rStyle w:val="Bold"/>
        </w:rPr>
        <w:t>à Comissão</w:t>
      </w:r>
    </w:p>
    <w:p>
      <w:pPr>
        <w:pStyle w:val="Arial10"/>
      </w:pPr>
      <w:r>
        <w:t>Artigo 138.º do Regimento</w:t>
      </w:r>
    </w:p>
    <w:p>
      <w:pPr>
        <w:pStyle w:val="Arial10After10"/>
      </w:pPr>
      <w:r>
        <w:rPr>
          <w:rStyle w:val="Bold"/>
        </w:rPr>
        <w:t>Maria da Graça Carvalho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Paulo Rangel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Lídia Pereira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José Manuel Fernandes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Cláudia Monteiro de Aguiar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Carlos Coelho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Assunto</w:t>
      </w:r>
      <w:r>
        <w:t>:</w:t>
      </w:r>
      <w:r>
        <w:tab/>
      </w:r>
      <w:r>
        <w:t>Revisão da estratégia da UE para a energia de fontes renováveis ao largo e medidas para alcançar as metas em matéria de energia oceânica</w:t>
      </w:r>
    </w:p>
    <w:p>
      <w:pPr>
        <w:pStyle w:val="Body"/>
      </w:pPr>
      <w:r>
        <w:t>Na sua estratégia para a energia de fontes renováveis ao largo, publicada em novembro de 2020</w:t>
      </w:r>
      <w:r>
        <w:rPr>
          <w:rStyle w:val="FootnoteReference"/>
        </w:rPr>
        <w:footnoteReference w:id="0"/>
      </w:r>
      <w:r>
        <w:t>, a Comissão comprometeu-se a coordenar com os Estados-Membros e as regiões sobre o financiamento para a implantação de 100 MW de energia das ondas e das marés na UE até 2025 e de 1 GW até 2030.</w:t>
      </w:r>
    </w:p>
    <w:p>
      <w:pPr>
        <w:pStyle w:val="Body"/>
      </w:pPr>
      <w:r>
        <w:t>Três anos depois, a liderança da Europa neste domínio é cada vez mais ameaçada por concorrentes mundiais, como os EUA e a China, que investem fortemente na energia oceânica. É essencial combinar financiamento da UE com financiamento nacional para garantir o cumprimento das metas da UE em matéria de implantação de energia oceânica e preservar a liderança europeia no domínio da energia das ondas e das marés.</w:t>
      </w:r>
    </w:p>
    <w:p>
      <w:pPr>
        <w:pStyle w:val="Body"/>
      </w:pPr>
      <w:r>
        <w:t>Na prática, isto significa que é necessário reforçar a coordenação entre a Comissão e os Estados-Membros e assegurar financiamento suficiente a nível da UE.</w:t>
      </w:r>
    </w:p>
    <w:p>
      <w:pPr>
        <w:pStyle w:val="itemList"/>
      </w:pPr>
      <w:r>
        <w:t>1.</w:t>
      </w:r>
      <w:r>
        <w:tab/>
      </w:r>
      <w:r>
        <w:t>Que medidas concretas tenciona a Comissão tomar para coordenar com as autoridades nacionais e regionais a fim de alcançar as metas em matéria de energia oceânica para 2025 e 2030?</w:t>
      </w:r>
    </w:p>
    <w:p>
      <w:pPr>
        <w:pStyle w:val="itemList"/>
      </w:pPr>
      <w:r>
        <w:t>2.</w:t>
      </w:r>
      <w:r>
        <w:tab/>
      </w:r>
      <w:r>
        <w:t>Que medidas tenciona tomar para disponibilizar financiamento suficiente a nível da UE com vista ao encerramento financeiro dos projetos de energia oceânica?</w:t>
      </w:r>
    </w:p>
    <w:p>
      <w:pPr>
        <w:pStyle w:val="Body"/>
      </w:pPr>
      <w:r>
        <w:t>Apresentação: 19.9.2023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PE753.995v01-00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PE753.995v01-00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PE753.995v01-00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Comunicação da Comissão, de 19 de novembro de 2020, intitulada «Estratégia da UE para aproveitar o potencial de energia de fontes renováveis ao largo com vista a um futuro climaticamente neutro» (COM(2020)0741).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com pedido de resposta escrita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20231106-091004-000270-454744</vt:lpwstr>
  </property>
</Properties>
</file>