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Pergunta com pedido de resposta escrita E-002325/2023</w:t>
      </w:r>
    </w:p>
    <w:p>
      <w:pPr>
        <w:pStyle w:val="Arial10"/>
      </w:pPr>
      <w:r>
        <w:rPr>
          <w:rStyle w:val="Bold"/>
        </w:rPr>
        <w:t>à Comissão</w:t>
      </w:r>
    </w:p>
    <w:p>
      <w:pPr>
        <w:pStyle w:val="Arial10"/>
      </w:pPr>
      <w:r>
        <w:t>Artigo 138.º do Regimento</w:t>
      </w:r>
    </w:p>
    <w:p>
      <w:pPr>
        <w:pStyle w:val="Arial10After10"/>
      </w:pPr>
      <w:r>
        <w:rPr>
          <w:rStyle w:val="Bold"/>
        </w:rPr>
        <w:t>Ilhan Kyuchyuk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Petras Auštrevičius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Olivier Chastel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Dietmar Köster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Iskra Mihaylova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Atidzhe Alieva-Veli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Carmen Avram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Miriam Lexmann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Asim Ademov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Emil Radev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Karin Karlsbro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Vlad Gheorghe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Ondřej Knotek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Petar Vitanov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Alexander Alexandrov Yordanov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Andrey Kovatchev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Tsvetelina Penkova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Irène Tolleret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Maite Pagazaurtundúa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Bart Groothuis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Sylwia Spurek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Attila Ara-Kovács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Peter Pollák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Elena Yoncheva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Carlos Coelho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Karen Melchior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Lukas Mandl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Eva Maydell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Javier Nart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Andrey Novakov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Helmut Geuking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Sergei Stanishev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Ilana Cicurel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Katalin Cseh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Nicola Beer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Michaela Šojdrová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Assunto</w:t>
      </w:r>
      <w:r>
        <w:t>:</w:t>
      </w:r>
      <w:r>
        <w:tab/>
      </w:r>
      <w:r>
        <w:t>Escalada do antissemitismo e do discurso de incitamento ao ódio na Bulgária</w:t>
      </w:r>
    </w:p>
    <w:p>
      <w:pPr>
        <w:pStyle w:val="Body"/>
      </w:pPr>
      <w:r>
        <w:t>Nos últimos anos, a Bulgária registou um aumento preocupante dos discursos de incitamento ao ódio e do antissemitismo no espaço público. Esta tendência agravou-se pelo facto de as fações populistas brandirem constantemente a liberdade de expressão como pretexto para enfraquecer a tolerância e promover um clima de hostilidade. O aumento dos discursos de incitamento ao ódio tem originado grande preocupação e receio de uma normalização da retórica e dos comportamentos antissemitas. Entre os exemplos mais recentes, figura o caso de um antigo ministro de origem judaica a quem chamaram traidor e de uma fotomontagem partilhada no grupo Telegram do partido Renascimento, que representa outro antigo ministro de origem judaica, conhecido pela suas opiniões pró-euro-atlânticas, acompanhada de uma legenda sugerindo que fosse aspergido gás contra esta pessoa por se opor ao gás russo.</w:t>
      </w:r>
    </w:p>
    <w:p>
      <w:pPr>
        <w:pStyle w:val="itemList"/>
      </w:pPr>
      <w:r>
        <w:t>1.</w:t>
      </w:r>
      <w:r>
        <w:tab/>
      </w:r>
      <w:r>
        <w:t>Que medidas adota Comissão para combater o discurso de incitamento ao ódio por parte de figuras públicas que dispõem de plataformas de grande visibilidade e que proferem de forma constante declarações antissemitas e contra minorias?</w:t>
      </w:r>
    </w:p>
    <w:p>
      <w:pPr>
        <w:pStyle w:val="itemList"/>
      </w:pPr>
      <w:r>
        <w:t>2.</w:t>
      </w:r>
      <w:r>
        <w:tab/>
      </w:r>
      <w:r>
        <w:t>Foram efetivamente aplicadas todas as medidas previstas na Decisão-Quadro 2008/913/JAI do Conselho no que diz respeito ao incitamento público à violência ou ao ódio?</w:t>
      </w:r>
    </w:p>
    <w:p>
      <w:pPr>
        <w:pStyle w:val="itemList"/>
      </w:pPr>
      <w:r>
        <w:t>3.</w:t>
      </w:r>
      <w:r>
        <w:tab/>
      </w:r>
      <w:r>
        <w:t>No âmbito da primeira estratégia da UE de luta contra o antissemitismo, os Estados-Membros comprometeram-se a prevenir e combater o antissemitismo através de estratégias, medidas e planos de ação nacionais. De que forma tenciona a Comissão combater o antissemitismo fora de linha e em linha e assegurar proteção contra o antissemitismo em espaços públicos, em conformidade com o compromisso assumido nesta matéria?</w:t>
      </w:r>
    </w:p>
    <w:p>
      <w:pPr>
        <w:pStyle w:val="Body"/>
      </w:pPr>
      <w:r>
        <w:t>Apresentação:20.7.2023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PE751.321v01-00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PE751.321v01-00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PE751.321v01-00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 com pedido de resposta escrita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20231003-112006-002996-955109</vt:lpwstr>
  </property>
</Properties>
</file>